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MUSE Basis of Estimate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>Element WBS #9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b w:val="1"/>
          <w:bCs w:val="1"/>
          <w:sz w:val="28"/>
          <w:szCs w:val="28"/>
          <w:u w:val="single"/>
        </w:rPr>
      </w:pPr>
      <w:r>
        <w:rPr>
          <w:u w:val="single"/>
          <w:rtl w:val="0"/>
        </w:rPr>
        <w:t>I.  General Information</w:t>
      </w:r>
    </w:p>
    <w:p>
      <w:pPr>
        <w:pStyle w:val="Body"/>
        <w:rPr>
          <w:sz w:val="28"/>
          <w:szCs w:val="28"/>
        </w:rPr>
      </w:pPr>
    </w:p>
    <w:p>
      <w:pPr>
        <w:pStyle w:val="Body"/>
      </w:pPr>
      <w:r>
        <w:rPr>
          <w:rtl w:val="0"/>
        </w:rPr>
        <w:t>Task Name:  Labor for Installation/Running</w:t>
      </w:r>
    </w:p>
    <w:p>
      <w:pPr>
        <w:pStyle w:val="Body"/>
      </w:pPr>
    </w:p>
    <w:p>
      <w:pPr>
        <w:pStyle w:val="Body"/>
      </w:pPr>
      <w:r>
        <w:rPr>
          <w:rtl w:val="0"/>
          <w:lang w:val="fr-FR"/>
        </w:rPr>
        <w:t>Unique ID Number</w:t>
      </w:r>
      <w:r>
        <w:rPr>
          <w:color w:val="ff0000"/>
          <w:u w:val="single" w:color="ff0000"/>
          <w:rtl w:val="0"/>
        </w:rPr>
        <w:t xml:space="preserve"> </w:t>
      </w:r>
    </w:p>
    <w:p>
      <w:pPr>
        <w:pStyle w:val="Body"/>
      </w:pPr>
    </w:p>
    <w:p>
      <w:pPr>
        <w:pStyle w:val="Body"/>
        <w:rPr>
          <w:u w:val="single"/>
        </w:rPr>
      </w:pPr>
      <w:r>
        <w:rPr>
          <w:rtl w:val="0"/>
        </w:rPr>
        <w:t xml:space="preserve">Date of Estimate: </w:t>
      </w:r>
      <w:r>
        <w:rPr>
          <w:rtl w:val="0"/>
        </w:rPr>
        <w:t>December</w:t>
      </w:r>
      <w:r>
        <w:rPr>
          <w:rtl w:val="0"/>
        </w:rPr>
        <w:t xml:space="preserve"> </w:t>
      </w:r>
      <w:r>
        <w:rPr>
          <w:rtl w:val="0"/>
        </w:rPr>
        <w:t>17</w:t>
      </w:r>
      <w:r>
        <w:rPr>
          <w:rtl w:val="0"/>
        </w:rPr>
        <w:t>, 201</w:t>
      </w:r>
      <w:r>
        <w:rPr>
          <w:rtl w:val="0"/>
        </w:rPr>
        <w:t>5</w:t>
      </w:r>
      <w:r>
        <w:rPr>
          <w:rtl w:val="0"/>
          <w:lang w:val="sv-SE"/>
        </w:rPr>
        <w:t xml:space="preserve"> (last update)</w:t>
      </w:r>
    </w:p>
    <w:p>
      <w:pPr>
        <w:pStyle w:val="Body"/>
      </w:pPr>
    </w:p>
    <w:p>
      <w:pPr>
        <w:pStyle w:val="Body"/>
        <w:rPr>
          <w:color w:val="ff0000"/>
          <w:u w:val="single" w:color="ff0000"/>
        </w:rPr>
      </w:pPr>
      <w:r>
        <w:rPr>
          <w:rtl w:val="0"/>
        </w:rPr>
        <w:t>Estimate Generator: R Gilman, R. Ransome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Cost Category: </w:t>
      </w:r>
    </w:p>
    <w:p>
      <w:pPr>
        <w:pStyle w:val="Body"/>
        <w:rPr>
          <w:color w:val="ff0000"/>
          <w:u w:color="ff0000"/>
        </w:rPr>
      </w:pPr>
      <w:r>
        <w:tab/>
      </w:r>
      <w:r>
        <w:rPr>
          <w:rFonts w:ascii="Cambria" w:cs="Cambria" w:hAnsi="Cambria" w:eastAsia="Cambria"/>
          <w:rtl w:val="0"/>
        </w:rPr>
        <w:t xml:space="preserve">     </w:t>
      </w:r>
      <w:r>
        <w:rPr>
          <w:rtl w:val="0"/>
        </w:rPr>
        <w:t xml:space="preserve">M&amp;S  </w:t>
      </w:r>
    </w:p>
    <w:p>
      <w:pPr>
        <w:pStyle w:val="Body"/>
      </w:pPr>
      <w:r>
        <w:tab/>
      </w:r>
      <w:r>
        <w:rPr>
          <w:rFonts w:ascii="Times New Roman" w:hAnsi="Times New Roman"/>
          <w:rtl w:val="0"/>
        </w:rPr>
        <w:t xml:space="preserve"> </w:t>
      </w:r>
      <w:r>
        <w:rPr>
          <w:rFonts w:ascii="Cambria" w:cs="Cambria" w:hAnsi="Cambria" w:eastAsia="Cambria"/>
          <w:rtl w:val="0"/>
        </w:rPr>
        <w:t xml:space="preserve">X </w:t>
      </w:r>
      <w:r>
        <w:rPr>
          <w:rtl w:val="0"/>
        </w:rPr>
        <w:t xml:space="preserve">SWF </w:t>
      </w:r>
      <w:r>
        <w:rPr>
          <w:color w:val="ff0000"/>
          <w:u w:color="ff0000"/>
          <w:rtl w:val="0"/>
        </w:rPr>
        <w:t xml:space="preserve"> </w:t>
      </w:r>
    </w:p>
    <w:p>
      <w:pPr>
        <w:pStyle w:val="Body"/>
      </w:pPr>
    </w:p>
    <w:p>
      <w:pPr>
        <w:pStyle w:val="Body"/>
        <w:rPr>
          <w:u w:val="single"/>
        </w:rPr>
      </w:pPr>
      <w:r>
        <w:rPr>
          <w:rtl w:val="0"/>
          <w:lang w:val="fr-FR"/>
        </w:rPr>
        <w:t xml:space="preserve">Comments:  </w:t>
      </w:r>
    </w:p>
    <w:p>
      <w:pPr>
        <w:pStyle w:val="Body"/>
        <w:rPr>
          <w:u w:val="single"/>
        </w:rPr>
      </w:pPr>
    </w:p>
    <w:p>
      <w:pPr>
        <w:pStyle w:val="Body"/>
        <w:rPr>
          <w:u w:val="single"/>
        </w:rPr>
      </w:pPr>
      <w:r>
        <w:rPr>
          <w:rtl w:val="0"/>
        </w:rPr>
        <w:t>Vendor Quote Number if Applicable_________________________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Drawing Reference Number or Attachment: </w:t>
      </w:r>
      <w:r>
        <w:rPr>
          <w:u w:val="single"/>
        </w:rPr>
        <w:tab/>
        <w:tab/>
        <w:tab/>
        <w:tab/>
      </w:r>
    </w:p>
    <w:p>
      <w:pPr>
        <w:pStyle w:val="Body"/>
      </w:pPr>
    </w:p>
    <w:p>
      <w:pPr>
        <w:pStyle w:val="Body"/>
        <w:rPr>
          <w:u w:val="single"/>
        </w:rPr>
      </w:pPr>
      <w:r>
        <w:rPr>
          <w:rtl w:val="0"/>
        </w:rPr>
        <w:t>Costing Method:</w:t>
      </w:r>
      <w:r>
        <w:rPr>
          <w:u w:val="single"/>
          <w:rtl w:val="0"/>
        </w:rPr>
        <w:tab/>
        <w:t xml:space="preserve">  Cost based on known post-doc costs</w:t>
      </w:r>
    </w:p>
    <w:p>
      <w:pPr>
        <w:pStyle w:val="Body"/>
      </w:pPr>
    </w:p>
    <w:p>
      <w:pPr>
        <w:pStyle w:val="Body"/>
        <w:rPr>
          <w:u w:val="single"/>
        </w:rPr>
      </w:pPr>
      <w:r>
        <w:rPr>
          <w:rtl w:val="0"/>
          <w:lang w:val="it-IT"/>
        </w:rPr>
        <w:t xml:space="preserve">Total Task Cost: </w:t>
      </w:r>
      <w:r>
        <w:rPr>
          <w:u w:val="single"/>
          <w:rtl w:val="0"/>
        </w:rPr>
        <w:t>$</w:t>
      </w:r>
      <w:r>
        <w:rPr>
          <w:u w:val="single"/>
          <w:rtl w:val="0"/>
          <w:lang w:val="en-US"/>
        </w:rPr>
        <w:t>282</w:t>
      </w:r>
      <w:r>
        <w:rPr>
          <w:u w:val="single"/>
          <w:rtl w:val="0"/>
        </w:rPr>
        <w:t>,</w:t>
      </w:r>
      <w:r>
        <w:rPr>
          <w:u w:val="single"/>
          <w:rtl w:val="0"/>
          <w:lang w:val="en-US"/>
        </w:rPr>
        <w:t>2</w:t>
      </w:r>
      <w:r>
        <w:rPr>
          <w:u w:val="single"/>
          <w:rtl w:val="0"/>
        </w:rPr>
        <w:t>1</w:t>
      </w:r>
      <w:r>
        <w:rPr>
          <w:u w:val="single"/>
          <w:rtl w:val="0"/>
          <w:lang w:val="en-US"/>
        </w:rPr>
        <w:t>2</w:t>
      </w:r>
    </w:p>
    <w:p>
      <w:pPr>
        <w:pStyle w:val="Body"/>
        <w:rPr>
          <w:u w:val="single"/>
        </w:rPr>
      </w:pPr>
    </w:p>
    <w:p>
      <w:pPr>
        <w:pStyle w:val="Body"/>
      </w:pPr>
      <w:r>
        <w:rPr>
          <w:u w:val="single"/>
          <w:rtl w:val="0"/>
          <w:lang w:val="en-US"/>
        </w:rPr>
        <w:t>Total Contingency: $</w:t>
      </w:r>
      <w:r>
        <w:rPr>
          <w:u w:val="single"/>
          <w:rtl w:val="0"/>
          <w:lang w:val="en-US"/>
        </w:rPr>
        <w:t>16,933</w:t>
      </w:r>
    </w:p>
    <w:p>
      <w:pPr>
        <w:pStyle w:val="Body"/>
        <w:rPr>
          <w:u w:val="single"/>
        </w:rPr>
      </w:pPr>
    </w:p>
    <w:p>
      <w:pPr>
        <w:pStyle w:val="Body"/>
        <w:rPr>
          <w:u w:val="double"/>
        </w:rPr>
      </w:pPr>
      <w:r>
        <w:rPr>
          <w:u w:val="doub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</w:pPr>
    </w:p>
    <w:p>
      <w:pPr>
        <w:pStyle w:val="Body"/>
      </w:pPr>
    </w:p>
    <w:p>
      <w:pPr>
        <w:pStyle w:val="Body"/>
        <w:jc w:val="center"/>
        <w:rPr>
          <w:u w:val="single"/>
        </w:rPr>
      </w:pPr>
      <w:r>
        <w:rPr>
          <w:u w:val="single"/>
          <w:rtl w:val="0"/>
          <w:lang w:val="en-US"/>
        </w:rPr>
        <w:t>II.  Cost Estimate Breakdown</w:t>
      </w:r>
    </w:p>
    <w:p>
      <w:pPr>
        <w:pStyle w:val="Body"/>
        <w:jc w:val="both"/>
        <w:rPr>
          <w:u w:val="single"/>
        </w:rPr>
      </w:pPr>
    </w:p>
    <w:p>
      <w:pPr>
        <w:pStyle w:val="Body"/>
        <w:jc w:val="both"/>
        <w:rPr>
          <w:u w:val="single"/>
        </w:rPr>
      </w:pPr>
      <w:r>
        <w:rPr>
          <w:u w:val="single"/>
          <w:rtl w:val="0"/>
          <w:lang w:val="en-US"/>
        </w:rPr>
        <w:t>Cost of each element, along with justification</w:t>
      </w:r>
    </w:p>
    <w:p>
      <w:pPr>
        <w:pStyle w:val="Body"/>
        <w:jc w:val="both"/>
        <w:rPr>
          <w:u w:val="single"/>
        </w:rPr>
      </w:pPr>
    </w:p>
    <w:p>
      <w:pPr>
        <w:pStyle w:val="Body"/>
      </w:pPr>
      <w:r>
        <w:rPr>
          <w:rtl w:val="0"/>
        </w:rPr>
        <w:t>We plan to have one post-doc in residence during the entire period.  Due to the high cost of living in Switzerland, we plan for a salary of $</w:t>
      </w:r>
      <w:r>
        <w:rPr>
          <w:rtl w:val="0"/>
        </w:rPr>
        <w:t>80</w:t>
      </w:r>
      <w:r>
        <w:rPr>
          <w:rtl w:val="0"/>
        </w:rPr>
        <w:t xml:space="preserve">,000/year for the first year, </w:t>
      </w:r>
      <w:r>
        <w:rPr>
          <w:rtl w:val="0"/>
        </w:rPr>
        <w:t xml:space="preserve">with 2% increases annually. </w:t>
      </w:r>
      <w:r>
        <w:rPr>
          <w:rtl w:val="0"/>
        </w:rPr>
        <w:t>Fringe is 38</w:t>
      </w:r>
      <w:r>
        <w:rPr>
          <w:rtl w:val="0"/>
        </w:rPr>
        <w:t>.6</w:t>
      </w:r>
      <w:r>
        <w:rPr>
          <w:rtl w:val="0"/>
        </w:rPr>
        <w:t>%.  F&amp;A is 26%.  Total cost is $</w:t>
      </w:r>
      <w:r>
        <w:rPr>
          <w:rtl w:val="0"/>
        </w:rPr>
        <w:t>282</w:t>
      </w:r>
      <w:r>
        <w:rPr>
          <w:rtl w:val="0"/>
        </w:rPr>
        <w:t>,</w:t>
      </w:r>
      <w:r>
        <w:rPr>
          <w:rtl w:val="0"/>
        </w:rPr>
        <w:t>2</w:t>
      </w:r>
      <w:r>
        <w:rPr>
          <w:rtl w:val="0"/>
        </w:rPr>
        <w:t>1</w:t>
      </w:r>
      <w:r>
        <w:rPr>
          <w:rtl w:val="0"/>
        </w:rPr>
        <w:t>2</w:t>
      </w:r>
      <w:r>
        <w:rPr>
          <w:rtl w:val="0"/>
        </w:rPr>
        <w:t>.</w:t>
      </w:r>
    </w:p>
    <w:p>
      <w:pPr>
        <w:pStyle w:val="Body"/>
        <w:jc w:val="center"/>
        <w:rPr>
          <w:u w:val="single"/>
        </w:rPr>
      </w:pPr>
    </w:p>
    <w:p>
      <w:pPr>
        <w:pStyle w:val="Body"/>
        <w:jc w:val="center"/>
        <w:rPr>
          <w:u w:val="single"/>
        </w:rPr>
      </w:pPr>
    </w:p>
    <w:p>
      <w:pPr>
        <w:pStyle w:val="Body"/>
        <w:jc w:val="center"/>
        <w:rPr>
          <w:u w:val="single"/>
        </w:rPr>
      </w:pPr>
    </w:p>
    <w:p>
      <w:pPr>
        <w:pStyle w:val="Body"/>
        <w:jc w:val="center"/>
        <w:rPr>
          <w:u w:val="single"/>
        </w:rPr>
      </w:pPr>
    </w:p>
    <w:p>
      <w:pPr>
        <w:pStyle w:val="Body"/>
        <w:jc w:val="center"/>
        <w:rPr>
          <w:u w:val="single"/>
        </w:rPr>
      </w:pPr>
    </w:p>
    <w:p>
      <w:pPr>
        <w:pStyle w:val="Body"/>
        <w:jc w:val="center"/>
        <w:rPr>
          <w:u w:val="single"/>
        </w:rPr>
      </w:pPr>
    </w:p>
    <w:p>
      <w:pPr>
        <w:pStyle w:val="Body"/>
        <w:jc w:val="center"/>
        <w:rPr>
          <w:u w:val="single"/>
        </w:rPr>
      </w:pPr>
      <w:r>
        <w:rPr>
          <w:u w:val="single"/>
          <w:rtl w:val="0"/>
          <w:lang w:val="en-US"/>
        </w:rPr>
        <w:t xml:space="preserve">III.  Contingency and risk analysis </w:t>
      </w:r>
    </w:p>
    <w:p>
      <w:pPr>
        <w:pStyle w:val="Body"/>
        <w:jc w:val="center"/>
        <w:rPr>
          <w:u w:val="single"/>
        </w:rPr>
      </w:pPr>
    </w:p>
    <w:p>
      <w:pPr>
        <w:pStyle w:val="Body"/>
        <w:rPr>
          <w:u w:val="single"/>
        </w:rPr>
      </w:pPr>
      <w:r>
        <w:rPr>
          <w:rtl w:val="0"/>
        </w:rPr>
        <w:t>The cost is well determined, so we anticipate a  contingency of 6% to cover unusually high currency fluctuations.  Total contingency is $</w:t>
      </w:r>
      <w:r>
        <w:rPr>
          <w:rtl w:val="0"/>
        </w:rPr>
        <w:t>16</w:t>
      </w:r>
      <w:r>
        <w:rPr>
          <w:rtl w:val="0"/>
        </w:rPr>
        <w:t>,9</w:t>
      </w:r>
      <w:r>
        <w:rPr>
          <w:rtl w:val="0"/>
        </w:rPr>
        <w:t>33</w:t>
      </w:r>
      <w:r>
        <w:rPr>
          <w:rtl w:val="0"/>
        </w:rPr>
        <w:t>.</w:t>
      </w:r>
    </w:p>
    <w:p>
      <w:pPr>
        <w:pStyle w:val="Body"/>
        <w:jc w:val="center"/>
        <w:rPr>
          <w:u w:val="single"/>
        </w:rPr>
      </w:pPr>
    </w:p>
    <w:p>
      <w:pPr>
        <w:pStyle w:val="Body"/>
        <w:rPr>
          <w:u w:val="single"/>
        </w:rPr>
      </w:pPr>
    </w:p>
    <w:p>
      <w:pPr>
        <w:pStyle w:val="Body"/>
        <w:jc w:val="center"/>
        <w:rPr>
          <w:u w:val="single"/>
        </w:rPr>
      </w:pPr>
    </w:p>
    <w:p>
      <w:pPr>
        <w:pStyle w:val="Body"/>
      </w:pPr>
    </w:p>
    <w:p>
      <w:pPr>
        <w:pStyle w:val="Body"/>
        <w:jc w:val="center"/>
      </w:pPr>
      <w:r>
        <w:drawing>
          <wp:inline distT="0" distB="0" distL="0" distR="0">
            <wp:extent cx="5486400" cy="606128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1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