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jc w:val="center"/>
        <w:rPr>
          <w:b w:val="1"/>
          <w:bCs w:val="1"/>
          <w:sz w:val="28"/>
          <w:szCs w:val="28"/>
          <w:u w:val="single"/>
        </w:rPr>
      </w:pPr>
      <w:r>
        <w:rPr>
          <w:b w:val="1"/>
          <w:bCs w:val="1"/>
          <w:sz w:val="28"/>
          <w:szCs w:val="28"/>
          <w:u w:val="single"/>
          <w:rtl w:val="0"/>
          <w:lang w:val="en-US"/>
        </w:rPr>
        <w:t>MUSE Basis of Estimate</w:t>
      </w:r>
    </w:p>
    <w:p>
      <w:pPr>
        <w:pStyle w:val="Body A"/>
        <w:jc w:val="center"/>
        <w:rPr>
          <w:b w:val="1"/>
          <w:bCs w:val="1"/>
          <w:sz w:val="28"/>
          <w:szCs w:val="28"/>
        </w:rPr>
      </w:pPr>
    </w:p>
    <w:p>
      <w:pPr>
        <w:pStyle w:val="Body A"/>
        <w:jc w:val="center"/>
        <w:rPr>
          <w:b w:val="1"/>
          <w:bCs w:val="1"/>
          <w:sz w:val="28"/>
          <w:szCs w:val="28"/>
          <w:lang w:val="fr-FR"/>
        </w:rPr>
      </w:pPr>
      <w:r>
        <w:rPr>
          <w:b w:val="1"/>
          <w:bCs w:val="1"/>
          <w:sz w:val="28"/>
          <w:szCs w:val="28"/>
          <w:rtl w:val="0"/>
          <w:lang w:val="fr-FR"/>
        </w:rPr>
        <w:t>Element WBS #6</w:t>
      </w:r>
    </w:p>
    <w:p>
      <w:pPr>
        <w:pStyle w:val="Body A"/>
        <w:jc w:val="center"/>
        <w:rPr>
          <w:b w:val="1"/>
          <w:bCs w:val="1"/>
          <w:sz w:val="28"/>
          <w:szCs w:val="28"/>
        </w:rPr>
      </w:pPr>
    </w:p>
    <w:p>
      <w:pPr>
        <w:pStyle w:val="Body A"/>
        <w:jc w:val="center"/>
        <w:rPr>
          <w:b w:val="1"/>
          <w:bCs w:val="1"/>
          <w:sz w:val="28"/>
          <w:szCs w:val="28"/>
          <w:u w:val="single"/>
        </w:rPr>
      </w:pPr>
      <w:r>
        <w:rPr>
          <w:u w:val="single"/>
          <w:rtl w:val="0"/>
          <w:lang w:val="en-US"/>
        </w:rPr>
        <w:t>I.  General Information</w:t>
      </w:r>
    </w:p>
    <w:p>
      <w:pPr>
        <w:pStyle w:val="Body A"/>
        <w:rPr>
          <w:sz w:val="28"/>
          <w:szCs w:val="28"/>
        </w:rPr>
      </w:pPr>
    </w:p>
    <w:p>
      <w:pPr>
        <w:pStyle w:val="Body A"/>
        <w:rPr>
          <w:lang w:val="de-DE"/>
        </w:rPr>
      </w:pPr>
      <w:r>
        <w:rPr>
          <w:rtl w:val="0"/>
          <w:lang w:val="de-DE"/>
        </w:rPr>
        <w:t>Task Name:  PMTs for Cerenkov</w:t>
      </w:r>
    </w:p>
    <w:p>
      <w:pPr>
        <w:pStyle w:val="Body A"/>
      </w:pPr>
    </w:p>
    <w:p>
      <w:pPr>
        <w:pStyle w:val="Body A"/>
      </w:pPr>
      <w:r>
        <w:rPr>
          <w:rtl w:val="0"/>
          <w:lang w:val="fr-FR"/>
        </w:rPr>
        <w:t>Unique ID Number</w:t>
      </w:r>
      <w:r>
        <w:rPr>
          <w:color w:val="ff0000"/>
          <w:u w:val="single" w:color="ff0000"/>
          <w:rtl w:val="0"/>
          <w:lang w:val="en-US"/>
        </w:rPr>
        <w:t xml:space="preserve"> </w:t>
      </w:r>
    </w:p>
    <w:p>
      <w:pPr>
        <w:pStyle w:val="Body A"/>
      </w:pPr>
    </w:p>
    <w:p>
      <w:pPr>
        <w:pStyle w:val="Body A"/>
        <w:rPr>
          <w:u w:val="single"/>
        </w:rPr>
      </w:pPr>
      <w:r>
        <w:rPr>
          <w:rtl w:val="0"/>
          <w:lang w:val="en-US"/>
        </w:rPr>
        <w:t>Date of Estimate: November 2, 2015</w:t>
      </w:r>
      <w:r>
        <w:rPr>
          <w:rtl w:val="0"/>
          <w:lang w:val="sv-SE"/>
        </w:rPr>
        <w:t xml:space="preserve"> (last update)</w:t>
      </w:r>
    </w:p>
    <w:p>
      <w:pPr>
        <w:pStyle w:val="Body A"/>
      </w:pPr>
    </w:p>
    <w:p>
      <w:pPr>
        <w:pStyle w:val="Body A"/>
        <w:rPr>
          <w:color w:val="ff0000"/>
          <w:u w:val="single" w:color="ff0000"/>
        </w:rPr>
      </w:pPr>
      <w:r>
        <w:rPr>
          <w:rtl w:val="0"/>
        </w:rPr>
        <w:t>Estimate Generator: R. Gilman, R. Ransome</w:t>
      </w:r>
    </w:p>
    <w:p>
      <w:pPr>
        <w:pStyle w:val="Body A"/>
      </w:pPr>
    </w:p>
    <w:p>
      <w:pPr>
        <w:pStyle w:val="Body A"/>
      </w:pPr>
      <w:r>
        <w:rPr>
          <w:rtl w:val="0"/>
        </w:rPr>
        <w:t xml:space="preserve">Cost Category: </w:t>
      </w:r>
    </w:p>
    <w:p>
      <w:pPr>
        <w:pStyle w:val="Body A"/>
        <w:rPr>
          <w:color w:val="ff0000"/>
          <w:u w:color="ff0000"/>
        </w:rPr>
      </w:pPr>
      <w:r>
        <w:tab/>
      </w:r>
      <w:r>
        <w:rPr>
          <w:rFonts w:ascii="Cambria" w:cs="Cambria" w:hAnsi="Cambria" w:eastAsia="Cambria"/>
          <w:rtl w:val="0"/>
          <w:lang w:val="en-US"/>
        </w:rPr>
        <w:t xml:space="preserve">   X  </w:t>
      </w:r>
      <w:r>
        <w:rPr>
          <w:rtl w:val="0"/>
        </w:rPr>
        <w:t xml:space="preserve">M&amp;S  </w:t>
      </w:r>
    </w:p>
    <w:p>
      <w:pPr>
        <w:pStyle w:val="Body A"/>
      </w:pPr>
      <w:r>
        <w:tab/>
      </w:r>
      <w:r>
        <w:rPr>
          <w:rFonts w:ascii="Times New Roman" w:hAnsi="Times New Roman"/>
          <w:rtl w:val="0"/>
          <w:lang w:val="en-US"/>
        </w:rPr>
        <w:t xml:space="preserve"> </w:t>
      </w:r>
      <w:r>
        <w:rPr>
          <w:rFonts w:ascii="Cambria" w:cs="Cambria" w:hAnsi="Cambria" w:eastAsia="Cambria"/>
          <w:rtl w:val="0"/>
          <w:lang w:val="en-US"/>
        </w:rPr>
        <w:t xml:space="preserve">  </w:t>
      </w:r>
      <w:r>
        <w:rPr>
          <w:rtl w:val="0"/>
        </w:rPr>
        <w:t xml:space="preserve">SWF </w:t>
      </w:r>
      <w:r>
        <w:rPr>
          <w:color w:val="ff0000"/>
          <w:u w:color="ff0000"/>
          <w:rtl w:val="0"/>
          <w:lang w:val="en-US"/>
        </w:rPr>
        <w:t xml:space="preserve"> </w:t>
      </w:r>
    </w:p>
    <w:p>
      <w:pPr>
        <w:pStyle w:val="Body A"/>
      </w:pPr>
    </w:p>
    <w:p>
      <w:pPr>
        <w:pStyle w:val="Body A"/>
        <w:rPr>
          <w:u w:val="single"/>
          <w:lang w:val="fr-FR"/>
        </w:rPr>
      </w:pPr>
      <w:r>
        <w:rPr>
          <w:rtl w:val="0"/>
          <w:lang w:val="fr-FR"/>
        </w:rPr>
        <w:t xml:space="preserve">Comments:  </w:t>
      </w:r>
      <w:r>
        <w:rPr>
          <w:rtl w:val="0"/>
          <w:lang w:val="fr-FR"/>
        </w:rPr>
        <w:t>We currently have one PMT-240 used for prototyping. We expect this to be the spare for the experiment. The budget currently calls for the first two PMTs to be purchased in the first year, but as the beam Cherenkov is not a critical path item all component purchases could be delayed into the second year.</w:t>
      </w:r>
    </w:p>
    <w:p>
      <w:pPr>
        <w:pStyle w:val="Body A"/>
        <w:rPr>
          <w:u w:val="single"/>
        </w:rPr>
      </w:pPr>
    </w:p>
    <w:p>
      <w:pPr>
        <w:pStyle w:val="Body A"/>
        <w:rPr>
          <w:u w:val="single"/>
        </w:rPr>
      </w:pPr>
      <w:r>
        <w:rPr>
          <w:rtl w:val="0"/>
        </w:rPr>
        <w:t>Vendor Quote Number if Applicable__</w:t>
      </w:r>
      <w:r>
        <w:rPr>
          <w:u w:val="single"/>
          <w:rtl w:val="0"/>
          <w:lang w:val="en-US"/>
        </w:rPr>
        <w:t>Sydor quote MCA 110215</w:t>
      </w:r>
      <w:r>
        <w:rPr>
          <w:rtl w:val="0"/>
        </w:rPr>
        <w:t>______</w:t>
      </w:r>
    </w:p>
    <w:p>
      <w:pPr>
        <w:pStyle w:val="Body A"/>
      </w:pPr>
    </w:p>
    <w:p>
      <w:pPr>
        <w:pStyle w:val="Body A"/>
      </w:pPr>
      <w:r>
        <w:rPr>
          <w:rtl w:val="0"/>
        </w:rPr>
        <w:t xml:space="preserve">Drawing Reference Number or Attachment: </w:t>
      </w:r>
      <w:r>
        <w:rPr>
          <w:u w:val="single"/>
        </w:rPr>
        <w:tab/>
        <w:tab/>
        <w:tab/>
        <w:tab/>
      </w:r>
    </w:p>
    <w:p>
      <w:pPr>
        <w:pStyle w:val="Body A"/>
      </w:pPr>
    </w:p>
    <w:p>
      <w:pPr>
        <w:pStyle w:val="Body A"/>
        <w:rPr>
          <w:u w:val="single"/>
        </w:rPr>
      </w:pPr>
      <w:r>
        <w:rPr>
          <w:rtl w:val="0"/>
        </w:rPr>
        <w:t>Costing Method:</w:t>
      </w:r>
      <w:r>
        <w:rPr>
          <w:u w:val="single"/>
          <w:rtl w:val="0"/>
        </w:rPr>
        <w:tab/>
        <w:t xml:space="preserve">  Quote</w:t>
      </w:r>
    </w:p>
    <w:p>
      <w:pPr>
        <w:pStyle w:val="Body A"/>
      </w:pPr>
    </w:p>
    <w:p>
      <w:pPr>
        <w:pStyle w:val="Body A"/>
        <w:rPr>
          <w:u w:val="single"/>
        </w:rPr>
      </w:pPr>
      <w:r>
        <w:rPr>
          <w:rtl w:val="0"/>
          <w:lang w:val="it-IT"/>
        </w:rPr>
        <w:t xml:space="preserve">Total Task Cost: </w:t>
      </w:r>
      <w:r>
        <w:rPr>
          <w:u w:val="single"/>
          <w:rtl w:val="0"/>
          <w:lang w:val="en-US"/>
        </w:rPr>
        <w:t>$90,000</w:t>
      </w:r>
    </w:p>
    <w:p>
      <w:pPr>
        <w:pStyle w:val="Body A"/>
        <w:rPr>
          <w:u w:val="single"/>
        </w:rPr>
      </w:pPr>
    </w:p>
    <w:p>
      <w:pPr>
        <w:pStyle w:val="Body A"/>
      </w:pPr>
      <w:r>
        <w:rPr>
          <w:u w:val="single"/>
          <w:rtl w:val="0"/>
          <w:lang w:val="en-US"/>
        </w:rPr>
        <w:t>Total Contingency: $9,000</w:t>
      </w:r>
    </w:p>
    <w:p>
      <w:pPr>
        <w:pStyle w:val="Body A"/>
        <w:rPr>
          <w:u w:val="single"/>
        </w:rPr>
      </w:pPr>
    </w:p>
    <w:p>
      <w:pPr>
        <w:pStyle w:val="Body A"/>
        <w:rPr>
          <w:u w:val="double"/>
        </w:rPr>
      </w:pPr>
      <w:r>
        <w:rPr>
          <w:u w:val="double"/>
        </w:rPr>
        <w:tab/>
        <w:tab/>
        <w:tab/>
        <w:tab/>
        <w:tab/>
        <w:tab/>
        <w:tab/>
        <w:tab/>
        <w:tab/>
        <w:tab/>
        <w:tab/>
        <w:tab/>
      </w:r>
    </w:p>
    <w:p>
      <w:pPr>
        <w:pStyle w:val="Body A"/>
      </w:pPr>
    </w:p>
    <w:p>
      <w:pPr>
        <w:pStyle w:val="Body A"/>
      </w:pPr>
      <w:r>
        <w:rPr>
          <w:rtl w:val="0"/>
          <w:lang w:val="de-DE"/>
        </w:rPr>
        <w:t xml:space="preserve">Task Name:  </w:t>
      </w:r>
      <w:r>
        <w:rPr>
          <w:rtl w:val="0"/>
          <w:lang w:val="en-US"/>
        </w:rPr>
        <w:t>Preamp/CFDs for Cerenkov</w:t>
      </w:r>
    </w:p>
    <w:p>
      <w:pPr>
        <w:pStyle w:val="Body A"/>
      </w:pPr>
    </w:p>
    <w:p>
      <w:pPr>
        <w:pStyle w:val="Body A"/>
      </w:pPr>
      <w:r>
        <w:rPr>
          <w:rtl w:val="0"/>
          <w:lang w:val="fr-FR"/>
        </w:rPr>
        <w:t>Unique ID Number</w:t>
      </w:r>
      <w:r>
        <w:rPr>
          <w:color w:val="ff0000"/>
          <w:u w:val="single" w:color="ff0000"/>
          <w:rtl w:val="0"/>
          <w:lang w:val="en-US"/>
        </w:rPr>
        <w:t xml:space="preserve"> </w:t>
      </w:r>
    </w:p>
    <w:p>
      <w:pPr>
        <w:pStyle w:val="Body A"/>
      </w:pPr>
    </w:p>
    <w:p>
      <w:pPr>
        <w:pStyle w:val="Body A"/>
        <w:rPr>
          <w:u w:val="single"/>
        </w:rPr>
      </w:pPr>
      <w:r>
        <w:rPr>
          <w:rtl w:val="0"/>
          <w:lang w:val="en-US"/>
        </w:rPr>
        <w:t>Date of Estimate: November 2, 2015</w:t>
      </w:r>
      <w:r>
        <w:rPr>
          <w:rtl w:val="0"/>
          <w:lang w:val="sv-SE"/>
        </w:rPr>
        <w:t xml:space="preserve"> (last update)</w:t>
      </w:r>
    </w:p>
    <w:p>
      <w:pPr>
        <w:pStyle w:val="Body A"/>
      </w:pPr>
    </w:p>
    <w:p>
      <w:pPr>
        <w:pStyle w:val="Body A"/>
        <w:rPr>
          <w:color w:val="ff0000"/>
          <w:u w:val="single" w:color="ff0000"/>
        </w:rPr>
      </w:pPr>
      <w:r>
        <w:rPr>
          <w:rtl w:val="0"/>
        </w:rPr>
        <w:t>Estimate Generator: R. Gilman, R. Ransome</w:t>
      </w:r>
    </w:p>
    <w:p>
      <w:pPr>
        <w:pStyle w:val="Body A"/>
      </w:pPr>
    </w:p>
    <w:p>
      <w:pPr>
        <w:pStyle w:val="Body A"/>
      </w:pPr>
      <w:r>
        <w:rPr>
          <w:rtl w:val="0"/>
        </w:rPr>
        <w:t xml:space="preserve">Cost Category: </w:t>
      </w:r>
    </w:p>
    <w:p>
      <w:pPr>
        <w:pStyle w:val="Body A"/>
        <w:rPr>
          <w:color w:val="ff0000"/>
          <w:u w:color="ff0000"/>
        </w:rPr>
      </w:pPr>
      <w:r>
        <w:tab/>
      </w:r>
      <w:r>
        <w:rPr>
          <w:rFonts w:ascii="Cambria" w:cs="Cambria" w:hAnsi="Cambria" w:eastAsia="Cambria"/>
          <w:rtl w:val="0"/>
          <w:lang w:val="en-US"/>
        </w:rPr>
        <w:t xml:space="preserve">   X  </w:t>
      </w:r>
      <w:r>
        <w:rPr>
          <w:rtl w:val="0"/>
        </w:rPr>
        <w:t xml:space="preserve">M&amp;S  </w:t>
      </w:r>
    </w:p>
    <w:p>
      <w:pPr>
        <w:pStyle w:val="Body A"/>
      </w:pPr>
      <w:r>
        <w:tab/>
      </w:r>
      <w:r>
        <w:rPr>
          <w:rFonts w:ascii="Times New Roman" w:hAnsi="Times New Roman"/>
          <w:rtl w:val="0"/>
          <w:lang w:val="en-US"/>
        </w:rPr>
        <w:t xml:space="preserve"> </w:t>
      </w:r>
      <w:r>
        <w:rPr>
          <w:rFonts w:ascii="Cambria" w:cs="Cambria" w:hAnsi="Cambria" w:eastAsia="Cambria"/>
          <w:rtl w:val="0"/>
          <w:lang w:val="en-US"/>
        </w:rPr>
        <w:t xml:space="preserve">  </w:t>
      </w:r>
      <w:r>
        <w:rPr>
          <w:rtl w:val="0"/>
        </w:rPr>
        <w:t xml:space="preserve">SWF </w:t>
      </w:r>
      <w:r>
        <w:rPr>
          <w:color w:val="ff0000"/>
          <w:u w:color="ff0000"/>
          <w:rtl w:val="0"/>
          <w:lang w:val="en-US"/>
        </w:rPr>
        <w:t xml:space="preserve"> </w:t>
      </w:r>
    </w:p>
    <w:p>
      <w:pPr>
        <w:pStyle w:val="Body A"/>
      </w:pPr>
    </w:p>
    <w:p>
      <w:pPr>
        <w:pStyle w:val="Body A"/>
        <w:rPr>
          <w:lang w:val="fr-FR"/>
        </w:rPr>
      </w:pPr>
      <w:r>
        <w:rPr>
          <w:rtl w:val="0"/>
          <w:lang w:val="fr-FR"/>
        </w:rPr>
        <w:t xml:space="preserve">Comments:  </w:t>
      </w:r>
      <w:r>
        <w:rPr>
          <w:rtl w:val="0"/>
          <w:lang w:val="fr-FR"/>
        </w:rPr>
        <w:t>We currently have 2 ``Ortec 9327</w:t>
      </w:r>
      <w:r>
        <w:rPr>
          <w:rtl w:val="0"/>
          <w:lang w:val="fr-FR"/>
        </w:rPr>
        <w:t xml:space="preserve">’’ </w:t>
      </w:r>
      <w:r>
        <w:rPr>
          <w:rtl w:val="0"/>
          <w:lang w:val="fr-FR"/>
        </w:rPr>
        <w:t>units. One has been used in prototyping. The other is currently being modified by our electronics shop for remote control. If this</w:t>
      </w:r>
    </w:p>
    <w:p>
      <w:pPr>
        <w:pStyle w:val="Body A"/>
        <w:rPr>
          <w:u w:val="single"/>
          <w:lang w:val="fr-FR"/>
        </w:rPr>
      </w:pPr>
      <w:r>
        <w:rPr>
          <w:rtl w:val="0"/>
          <w:lang w:val="fr-FR"/>
        </w:rPr>
        <w:t>fails, we will have 5 locally operated units, one as a spare. If this succeeds we will modify units as we obtain them, and have 2 spares.</w:t>
      </w:r>
    </w:p>
    <w:p>
      <w:pPr>
        <w:pStyle w:val="Body A"/>
        <w:rPr>
          <w:u w:val="single"/>
        </w:rPr>
      </w:pPr>
    </w:p>
    <w:p>
      <w:pPr>
        <w:pStyle w:val="Body A"/>
        <w:rPr>
          <w:u w:val="single"/>
        </w:rPr>
      </w:pPr>
      <w:r>
        <w:rPr>
          <w:rtl w:val="0"/>
        </w:rPr>
        <w:t>Vendor Quote Number if Applicable__</w:t>
      </w:r>
      <w:r>
        <w:rPr>
          <w:u w:val="single"/>
          <w:rtl w:val="0"/>
          <w:lang w:val="en-US"/>
        </w:rPr>
        <w:t>Ametek quote AK4603-1</w:t>
      </w:r>
      <w:r>
        <w:rPr>
          <w:rtl w:val="0"/>
        </w:rPr>
        <w:t>______</w:t>
      </w:r>
    </w:p>
    <w:p>
      <w:pPr>
        <w:pStyle w:val="Body A"/>
      </w:pPr>
    </w:p>
    <w:p>
      <w:pPr>
        <w:pStyle w:val="Body A"/>
      </w:pPr>
      <w:r>
        <w:rPr>
          <w:rtl w:val="0"/>
        </w:rPr>
        <w:t xml:space="preserve">Drawing Reference Number or Attachment: </w:t>
      </w:r>
      <w:r>
        <w:rPr>
          <w:u w:val="single"/>
        </w:rPr>
        <w:tab/>
        <w:tab/>
        <w:tab/>
        <w:tab/>
      </w:r>
    </w:p>
    <w:p>
      <w:pPr>
        <w:pStyle w:val="Body A"/>
      </w:pPr>
    </w:p>
    <w:p>
      <w:pPr>
        <w:pStyle w:val="Body A"/>
        <w:rPr>
          <w:u w:val="single"/>
        </w:rPr>
      </w:pPr>
      <w:r>
        <w:rPr>
          <w:rtl w:val="0"/>
        </w:rPr>
        <w:t>Costing Method:</w:t>
      </w:r>
      <w:r>
        <w:rPr>
          <w:u w:val="single"/>
          <w:rtl w:val="0"/>
        </w:rPr>
        <w:tab/>
        <w:t xml:space="preserve">  Quote</w:t>
      </w:r>
    </w:p>
    <w:p>
      <w:pPr>
        <w:pStyle w:val="Body A"/>
      </w:pPr>
    </w:p>
    <w:p>
      <w:pPr>
        <w:pStyle w:val="Body A"/>
        <w:rPr>
          <w:u w:val="single"/>
        </w:rPr>
      </w:pPr>
      <w:r>
        <w:rPr>
          <w:rtl w:val="0"/>
          <w:lang w:val="it-IT"/>
        </w:rPr>
        <w:t xml:space="preserve">Total Task Cost: </w:t>
      </w:r>
      <w:r>
        <w:rPr>
          <w:u w:val="single"/>
          <w:rtl w:val="0"/>
          <w:lang w:val="en-US"/>
        </w:rPr>
        <w:t>$12,472</w:t>
      </w:r>
    </w:p>
    <w:p>
      <w:pPr>
        <w:pStyle w:val="Body A"/>
        <w:rPr>
          <w:u w:val="single"/>
        </w:rPr>
      </w:pPr>
    </w:p>
    <w:p>
      <w:pPr>
        <w:pStyle w:val="Body A"/>
      </w:pPr>
      <w:r>
        <w:rPr>
          <w:u w:val="single"/>
          <w:rtl w:val="0"/>
          <w:lang w:val="en-US"/>
        </w:rPr>
        <w:t>Total Contingency: $1,247</w:t>
      </w:r>
    </w:p>
    <w:p>
      <w:pPr>
        <w:pStyle w:val="Body A"/>
      </w:pPr>
      <w:r>
        <w:rPr>
          <w:rFonts w:ascii="Arial Unicode MS" w:cs="Arial Unicode MS" w:hAnsi="Arial Unicode MS" w:eastAsia="Arial Unicode MS"/>
          <w:b w:val="0"/>
          <w:bCs w:val="0"/>
          <w:i w:val="0"/>
          <w:iCs w:val="0"/>
          <w:u w:val="single"/>
        </w:rPr>
        <w:br w:type="page"/>
      </w:r>
    </w:p>
    <w:p>
      <w:pPr>
        <w:pStyle w:val="Body A"/>
      </w:pPr>
    </w:p>
    <w:p>
      <w:pPr>
        <w:pStyle w:val="Body A"/>
        <w:jc w:val="center"/>
        <w:rPr>
          <w:u w:val="single"/>
        </w:rPr>
      </w:pPr>
      <w:r>
        <w:rPr>
          <w:u w:val="single"/>
          <w:rtl w:val="0"/>
          <w:lang w:val="en-US"/>
        </w:rPr>
        <w:t>II.  Cost Estimate Breakdown</w:t>
      </w:r>
    </w:p>
    <w:p>
      <w:pPr>
        <w:pStyle w:val="Body A"/>
        <w:jc w:val="both"/>
        <w:rPr>
          <w:u w:val="single"/>
        </w:rPr>
      </w:pPr>
    </w:p>
    <w:p>
      <w:pPr>
        <w:pStyle w:val="Body A"/>
        <w:jc w:val="both"/>
        <w:rPr>
          <w:u w:val="single"/>
        </w:rPr>
      </w:pPr>
      <w:r>
        <w:rPr>
          <w:u w:val="single"/>
          <w:rtl w:val="0"/>
          <w:lang w:val="en-US"/>
        </w:rPr>
        <w:t>Cost of each element, along with justification</w:t>
      </w:r>
    </w:p>
    <w:p>
      <w:pPr>
        <w:pStyle w:val="Body A"/>
        <w:jc w:val="both"/>
        <w:rPr>
          <w:u w:val="single"/>
        </w:rPr>
      </w:pPr>
    </w:p>
    <w:p>
      <w:pPr>
        <w:pStyle w:val="Body A"/>
        <w:jc w:val="both"/>
      </w:pPr>
      <w:r>
        <w:rPr>
          <w:rtl w:val="0"/>
          <w:lang w:val="en-US"/>
        </w:rPr>
        <w:t>Photek PMT240, $2</w:t>
      </w:r>
      <w:r>
        <w:rPr>
          <w:rtl w:val="0"/>
          <w:lang w:val="en-US"/>
        </w:rPr>
        <w:t>2</w:t>
      </w:r>
      <w:r>
        <w:rPr>
          <w:rtl w:val="0"/>
          <w:lang w:val="en-US"/>
        </w:rPr>
        <w:t>,</w:t>
      </w:r>
      <w:r>
        <w:rPr>
          <w:rtl w:val="0"/>
          <w:lang w:val="en-US"/>
        </w:rPr>
        <w:t>5</w:t>
      </w:r>
      <w:r>
        <w:rPr>
          <w:rtl w:val="0"/>
          <w:lang w:val="en-US"/>
        </w:rPr>
        <w:t>00 each</w:t>
      </w:r>
    </w:p>
    <w:p>
      <w:pPr>
        <w:pStyle w:val="Body A"/>
        <w:jc w:val="both"/>
      </w:pPr>
      <w:r>
        <w:rPr>
          <w:rtl w:val="0"/>
          <w:lang w:val="en-US"/>
        </w:rPr>
        <w:t>2</w:t>
      </w:r>
      <w:r>
        <w:rPr>
          <w:rtl w:val="0"/>
          <w:lang w:val="en-US"/>
        </w:rPr>
        <w:t xml:space="preserve"> tubes will be ordered in year 1.  Cost $</w:t>
      </w:r>
      <w:r>
        <w:rPr>
          <w:rtl w:val="0"/>
          <w:lang w:val="en-US"/>
        </w:rPr>
        <w:t>45</w:t>
      </w:r>
      <w:r>
        <w:rPr>
          <w:rtl w:val="0"/>
          <w:lang w:val="en-US"/>
        </w:rPr>
        <w:t>,</w:t>
      </w:r>
      <w:r>
        <w:rPr>
          <w:rtl w:val="0"/>
          <w:lang w:val="en-US"/>
        </w:rPr>
        <w:t>0</w:t>
      </w:r>
      <w:r>
        <w:rPr>
          <w:rtl w:val="0"/>
          <w:lang w:val="en-US"/>
        </w:rPr>
        <w:t>00</w:t>
      </w:r>
    </w:p>
    <w:p>
      <w:pPr>
        <w:pStyle w:val="Body A"/>
        <w:jc w:val="both"/>
      </w:pPr>
      <w:r>
        <w:rPr>
          <w:rtl w:val="0"/>
          <w:lang w:val="en-US"/>
        </w:rPr>
        <w:t>2</w:t>
      </w:r>
      <w:r>
        <w:rPr>
          <w:rtl w:val="0"/>
          <w:lang w:val="en-US"/>
        </w:rPr>
        <w:t xml:space="preserve"> tubes will be ordered in year 2</w:t>
      </w:r>
      <w:r>
        <w:rPr>
          <w:rtl w:val="0"/>
          <w:lang w:val="en-US"/>
        </w:rPr>
        <w:t>.</w:t>
      </w:r>
      <w:r>
        <w:rPr>
          <w:rtl w:val="0"/>
          <w:lang w:val="en-US"/>
        </w:rPr>
        <w:t xml:space="preserve">   Cost $</w:t>
      </w:r>
      <w:r>
        <w:rPr>
          <w:rtl w:val="0"/>
          <w:lang w:val="en-US"/>
        </w:rPr>
        <w:t>45</w:t>
      </w:r>
      <w:r>
        <w:rPr>
          <w:rtl w:val="0"/>
          <w:lang w:val="en-US"/>
        </w:rPr>
        <w:t>,</w:t>
      </w:r>
      <w:r>
        <w:rPr>
          <w:rtl w:val="0"/>
          <w:lang w:val="en-US"/>
        </w:rPr>
        <w:t>0</w:t>
      </w:r>
      <w:r>
        <w:rPr>
          <w:rtl w:val="0"/>
          <w:lang w:val="en-US"/>
        </w:rPr>
        <w:t>00</w:t>
      </w:r>
    </w:p>
    <w:p>
      <w:pPr>
        <w:pStyle w:val="Body A"/>
        <w:jc w:val="both"/>
      </w:pPr>
      <w:r>
        <w:rPr>
          <w:rtl w:val="0"/>
          <w:lang w:val="en-US"/>
        </w:rPr>
        <w:t>4 Ortec 9327 preamp/CFDs will be ordered in year 2.  Cost $12,472</w:t>
      </w:r>
    </w:p>
    <w:p>
      <w:pPr>
        <w:pStyle w:val="Body A"/>
        <w:jc w:val="both"/>
      </w:pPr>
      <w:r>
        <w:rPr>
          <w:rtl w:val="0"/>
          <w:lang w:val="en-US"/>
        </w:rPr>
        <w:t xml:space="preserve">Total </w:t>
      </w:r>
      <w:r>
        <w:rPr>
          <w:rtl w:val="0"/>
          <w:lang w:val="en-US"/>
        </w:rPr>
        <w:t xml:space="preserve">cost of major components is $102,472. </w:t>
      </w:r>
    </w:p>
    <w:p>
      <w:pPr>
        <w:pStyle w:val="Body A"/>
        <w:jc w:val="both"/>
      </w:pPr>
      <w:r>
        <w:rPr>
          <w:rtl w:val="0"/>
          <w:lang w:val="en-US"/>
        </w:rPr>
        <w:t xml:space="preserve">Total project cost, including F&amp;A but no contingency, is </w:t>
      </w:r>
      <w:r>
        <w:rPr>
          <w:rtl w:val="0"/>
          <w:lang w:val="en-US"/>
        </w:rPr>
        <w:t>$1</w:t>
      </w:r>
      <w:r>
        <w:rPr>
          <w:rtl w:val="0"/>
          <w:lang w:val="en-US"/>
        </w:rPr>
        <w:t>16</w:t>
      </w:r>
      <w:r>
        <w:rPr>
          <w:rtl w:val="0"/>
          <w:lang w:val="en-US"/>
        </w:rPr>
        <w:t>,1</w:t>
      </w:r>
      <w:r>
        <w:rPr>
          <w:rtl w:val="0"/>
          <w:lang w:val="en-US"/>
        </w:rPr>
        <w:t>56</w:t>
      </w:r>
    </w:p>
    <w:p>
      <w:pPr>
        <w:pStyle w:val="Body A"/>
        <w:jc w:val="both"/>
      </w:pPr>
    </w:p>
    <w:p>
      <w:pPr>
        <w:pStyle w:val="Body A"/>
        <w:jc w:val="both"/>
      </w:pPr>
    </w:p>
    <w:p>
      <w:pPr>
        <w:pStyle w:val="Body A"/>
        <w:jc w:val="center"/>
        <w:rPr>
          <w:u w:val="single"/>
        </w:rPr>
      </w:pPr>
    </w:p>
    <w:p>
      <w:pPr>
        <w:pStyle w:val="Body A"/>
        <w:jc w:val="center"/>
        <w:rPr>
          <w:u w:val="single"/>
        </w:rPr>
      </w:pPr>
      <w:r>
        <w:rPr>
          <w:u w:val="single"/>
          <w:rtl w:val="0"/>
          <w:lang w:val="en-US"/>
        </w:rPr>
        <w:t xml:space="preserve">III.  Contingency and risk analysis </w:t>
      </w:r>
    </w:p>
    <w:p>
      <w:pPr>
        <w:pStyle w:val="Body A"/>
        <w:jc w:val="center"/>
        <w:rPr>
          <w:u w:val="single"/>
        </w:rPr>
      </w:pPr>
    </w:p>
    <w:p>
      <w:pPr>
        <w:pStyle w:val="Body A"/>
      </w:pPr>
      <w:r>
        <w:rPr>
          <w:rtl w:val="0"/>
        </w:rPr>
        <w:t>Th</w:t>
      </w:r>
      <w:r>
        <w:rPr>
          <w:rtl w:val="0"/>
        </w:rPr>
        <w:t xml:space="preserve">e cost is dominated by </w:t>
      </w:r>
      <w:r>
        <w:rPr>
          <w:rtl w:val="0"/>
        </w:rPr>
        <w:t xml:space="preserve">off the shelf </w:t>
      </w:r>
      <w:r>
        <w:rPr>
          <w:rtl w:val="0"/>
        </w:rPr>
        <w:t>components</w:t>
      </w:r>
      <w:r>
        <w:rPr>
          <w:rtl w:val="0"/>
        </w:rPr>
        <w:t xml:space="preserve">, </w:t>
      </w:r>
      <w:r>
        <w:rPr>
          <w:rtl w:val="0"/>
        </w:rPr>
        <w:t xml:space="preserve">already used in prototypes, </w:t>
      </w:r>
      <w:r>
        <w:rPr>
          <w:rtl w:val="0"/>
        </w:rPr>
        <w:t xml:space="preserve">with low technical/price risk.  However, </w:t>
      </w:r>
      <w:r>
        <w:rPr>
          <w:rtl w:val="0"/>
        </w:rPr>
        <w:t xml:space="preserve">the PMTs are </w:t>
      </w:r>
      <w:r>
        <w:rPr>
          <w:rtl w:val="0"/>
        </w:rPr>
        <w:t>produced in the UK, so we estimate a contingency of 10% should be applied for currency fluctuations.</w:t>
      </w:r>
      <w:r>
        <w:rPr>
          <w:rtl w:val="0"/>
        </w:rPr>
        <w:t xml:space="preserve"> </w:t>
      </w:r>
    </w:p>
    <w:p>
      <w:pPr>
        <w:pStyle w:val="Body A"/>
      </w:pPr>
      <w:r>
        <w:rPr>
          <w:rtl w:val="0"/>
        </w:rPr>
        <w:t>Total contingency $1</w:t>
      </w:r>
      <w:r>
        <w:rPr>
          <w:rtl w:val="0"/>
        </w:rPr>
        <w:t>1,616</w:t>
      </w:r>
      <w:r>
        <w:rPr>
          <w:rtl w:val="0"/>
        </w:rPr>
        <w:t>.</w:t>
      </w:r>
    </w:p>
    <w:p>
      <w:pPr>
        <w:pStyle w:val="Body A"/>
      </w:pPr>
    </w:p>
    <w:p>
      <w:pPr>
        <w:pStyle w:val="Body A"/>
        <w:rPr>
          <w:u w:val="single"/>
        </w:rPr>
      </w:pPr>
    </w:p>
    <w:p>
      <w:pPr>
        <w:pStyle w:val="Body A"/>
        <w:jc w:val="center"/>
        <w:rPr>
          <w:u w:val="single"/>
        </w:rPr>
      </w:pPr>
      <w:r>
        <w:rPr>
          <w:u w:val="single"/>
        </w:rPr>
        <w:drawing>
          <wp:anchor distT="57150" distB="57150" distL="57150" distR="57150" simplePos="0" relativeHeight="251659264" behindDoc="0" locked="0" layoutInCell="1" allowOverlap="1">
            <wp:simplePos x="0" y="0"/>
            <wp:positionH relativeFrom="column">
              <wp:posOffset>0</wp:posOffset>
            </wp:positionH>
            <wp:positionV relativeFrom="line">
              <wp:posOffset>0</wp:posOffset>
            </wp:positionV>
            <wp:extent cx="5727700" cy="342900"/>
            <wp:effectExtent l="0" t="0" r="0" b="0"/>
            <wp:wrapThrough wrapText="bothSides" distL="57150" distR="5715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4">
                      <a:extLst/>
                    </a:blip>
                    <a:stretch>
                      <a:fillRect/>
                    </a:stretch>
                  </pic:blipFill>
                  <pic:spPr>
                    <a:xfrm>
                      <a:off x="0" y="0"/>
                      <a:ext cx="5727700" cy="342900"/>
                    </a:xfrm>
                    <a:prstGeom prst="rect">
                      <a:avLst/>
                    </a:prstGeom>
                    <a:ln w="12700" cap="flat">
                      <a:noFill/>
                      <a:miter lim="400000"/>
                    </a:ln>
                    <a:effectLst/>
                  </pic:spPr>
                </pic:pic>
              </a:graphicData>
            </a:graphic>
          </wp:anchor>
        </w:drawing>
      </w:r>
    </w:p>
    <w:p>
      <w:pPr>
        <w:pStyle w:val="Body A"/>
        <w:rPr>
          <w:u w:val="single"/>
        </w:rPr>
      </w:pPr>
    </w:p>
    <w:p>
      <w:pPr>
        <w:pStyle w:val="Body A"/>
        <w:jc w:val="center"/>
        <w:rPr>
          <w:u w:val="single"/>
        </w:rPr>
      </w:pPr>
    </w:p>
    <w:p>
      <w:pPr>
        <w:pStyle w:val="Body A"/>
      </w:pPr>
    </w:p>
    <w:p>
      <w:pPr>
        <w:pStyle w:val="Body A"/>
        <w:jc w:val="center"/>
      </w:pPr>
      <w:r>
        <w:drawing>
          <wp:inline distT="0" distB="0" distL="0" distR="0">
            <wp:extent cx="5486400" cy="6061284"/>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png"/>
                    <pic:cNvPicPr>
                      <a:picLocks noChangeAspect="1"/>
                    </pic:cNvPicPr>
                  </pic:nvPicPr>
                  <pic:blipFill>
                    <a:blip r:embed="rId5">
                      <a:extLst/>
                    </a:blip>
                    <a:stretch>
                      <a:fillRect/>
                    </a:stretch>
                  </pic:blipFill>
                  <pic:spPr>
                    <a:xfrm>
                      <a:off x="0" y="0"/>
                      <a:ext cx="5486400" cy="6061284"/>
                    </a:xfrm>
                    <a:prstGeom prst="rect">
                      <a:avLst/>
                    </a:prstGeom>
                    <a:ln w="12700" cap="flat">
                      <a:noFill/>
                      <a:miter lim="400000"/>
                    </a:ln>
                    <a:effectLst/>
                  </pic:spPr>
                </pic:pic>
              </a:graphicData>
            </a:graphic>
          </wp:inline>
        </w:drawing>
      </w:r>
    </w:p>
    <w:sectPr>
      <w:headerReference w:type="default" r:id="rId6"/>
      <w:footerReference w:type="default" r:id="rId7"/>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imes">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w:cs="Arial Unicode MS" w:hAnsi="Time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