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Body A"/>
        <w:jc w:val="center"/>
        <w:rPr>
          <w:b w:val="1"/>
          <w:bCs w:val="1"/>
          <w:sz w:val="28"/>
          <w:szCs w:val="28"/>
          <w:u w:val="single"/>
        </w:rPr>
      </w:pPr>
      <w:r>
        <w:rPr>
          <w:b w:val="1"/>
          <w:bCs w:val="1"/>
          <w:sz w:val="28"/>
          <w:szCs w:val="28"/>
          <w:u w:val="single"/>
          <w:rtl w:val="0"/>
          <w:lang w:val="en-US"/>
        </w:rPr>
        <w:t>MUSE Basis of Estimate</w:t>
      </w:r>
    </w:p>
    <w:p>
      <w:pPr>
        <w:pStyle w:val="Body A"/>
        <w:jc w:val="center"/>
        <w:rPr>
          <w:b w:val="1"/>
          <w:bCs w:val="1"/>
          <w:sz w:val="28"/>
          <w:szCs w:val="28"/>
        </w:rPr>
      </w:pPr>
    </w:p>
    <w:p>
      <w:pPr>
        <w:pStyle w:val="Body A"/>
        <w:jc w:val="center"/>
        <w:rPr>
          <w:b w:val="1"/>
          <w:bCs w:val="1"/>
          <w:sz w:val="28"/>
          <w:szCs w:val="28"/>
          <w:lang w:val="fr-FR"/>
        </w:rPr>
      </w:pPr>
      <w:r>
        <w:rPr>
          <w:b w:val="1"/>
          <w:bCs w:val="1"/>
          <w:sz w:val="28"/>
          <w:szCs w:val="28"/>
          <w:rtl w:val="0"/>
          <w:lang w:val="fr-FR"/>
        </w:rPr>
        <w:t>Element WBS #1</w:t>
      </w:r>
    </w:p>
    <w:p>
      <w:pPr>
        <w:pStyle w:val="Body A"/>
        <w:jc w:val="center"/>
        <w:rPr>
          <w:b w:val="1"/>
          <w:bCs w:val="1"/>
          <w:sz w:val="28"/>
          <w:szCs w:val="28"/>
        </w:rPr>
      </w:pPr>
    </w:p>
    <w:p>
      <w:pPr>
        <w:pStyle w:val="Body A"/>
        <w:jc w:val="center"/>
        <w:rPr>
          <w:b w:val="1"/>
          <w:bCs w:val="1"/>
          <w:sz w:val="28"/>
          <w:szCs w:val="28"/>
          <w:u w:val="single"/>
        </w:rPr>
      </w:pPr>
      <w:r>
        <w:rPr>
          <w:u w:val="single"/>
          <w:rtl w:val="0"/>
          <w:lang w:val="en-US"/>
        </w:rPr>
        <w:t>I.  General Information</w:t>
      </w:r>
    </w:p>
    <w:p>
      <w:pPr>
        <w:pStyle w:val="Body A"/>
        <w:rPr>
          <w:sz w:val="28"/>
          <w:szCs w:val="28"/>
        </w:rPr>
      </w:pPr>
    </w:p>
    <w:p>
      <w:pPr>
        <w:pStyle w:val="Body A"/>
      </w:pPr>
      <w:r>
        <w:rPr>
          <w:rtl w:val="0"/>
        </w:rPr>
        <w:t>Task Name:  Support Table</w:t>
      </w:r>
    </w:p>
    <w:p>
      <w:pPr>
        <w:pStyle w:val="Body A"/>
      </w:pPr>
    </w:p>
    <w:p>
      <w:pPr>
        <w:pStyle w:val="Body A"/>
        <w:rPr>
          <w:color w:val="ff0000"/>
          <w:u w:val="single" w:color="ff0000"/>
        </w:rPr>
      </w:pPr>
      <w:r>
        <w:rPr>
          <w:rtl w:val="0"/>
          <w:lang w:val="fr-FR"/>
        </w:rPr>
        <w:t>Unique ID Number</w:t>
      </w:r>
      <w:r>
        <w:rPr>
          <w:color w:val="ff0000"/>
          <w:u w:val="single" w:color="ff0000"/>
          <w:rtl w:val="0"/>
          <w:lang w:val="en-US"/>
        </w:rPr>
        <w:t xml:space="preserve"> </w:t>
      </w:r>
    </w:p>
    <w:p>
      <w:pPr>
        <w:pStyle w:val="Body A"/>
        <w:rPr>
          <w:color w:val="ff0000"/>
          <w:u w:val="single" w:color="ff0000"/>
        </w:rPr>
      </w:pPr>
    </w:p>
    <w:p>
      <w:pPr>
        <w:pStyle w:val="Body A"/>
        <w:rPr>
          <w:u w:val="single"/>
        </w:rPr>
      </w:pPr>
      <w:r>
        <w:rPr>
          <w:rtl w:val="0"/>
          <w:lang w:val="en-US"/>
        </w:rPr>
        <w:t>Date of Estimate: 10/16/15</w:t>
      </w:r>
      <w:r>
        <w:rPr>
          <w:rtl w:val="0"/>
          <w:lang w:val="sv-SE"/>
        </w:rPr>
        <w:t xml:space="preserve"> (last update)</w:t>
      </w:r>
    </w:p>
    <w:p>
      <w:pPr>
        <w:pStyle w:val="Body A"/>
      </w:pPr>
    </w:p>
    <w:p>
      <w:pPr>
        <w:pStyle w:val="Body A"/>
        <w:rPr>
          <w:color w:val="ff0000"/>
          <w:u w:val="single" w:color="ff0000"/>
        </w:rPr>
      </w:pPr>
      <w:r>
        <w:rPr>
          <w:rtl w:val="0"/>
        </w:rPr>
        <w:t>Estimate Generator: Tom O</w:t>
      </w:r>
      <w:r>
        <w:rPr>
          <w:rtl w:val="0"/>
        </w:rPr>
        <w:t>’</w:t>
      </w:r>
      <w:r>
        <w:rPr>
          <w:rtl w:val="0"/>
        </w:rPr>
        <w:t>Connor</w:t>
      </w:r>
    </w:p>
    <w:p>
      <w:pPr>
        <w:pStyle w:val="Body A"/>
      </w:pPr>
    </w:p>
    <w:p>
      <w:pPr>
        <w:pStyle w:val="Body A"/>
      </w:pPr>
      <w:r>
        <w:rPr>
          <w:rtl w:val="0"/>
        </w:rPr>
        <w:t xml:space="preserve">Cost Category: </w:t>
      </w:r>
    </w:p>
    <w:p>
      <w:pPr>
        <w:pStyle w:val="Body A"/>
        <w:rPr>
          <w:color w:val="ff0000"/>
          <w:u w:color="ff0000"/>
        </w:rPr>
      </w:pPr>
      <w:r>
        <w:rPr>
          <w:rtl w:val="0"/>
        </w:rPr>
        <w:tab/>
        <w:t xml:space="preserve"> </w:t>
      </w:r>
      <w:r>
        <w:rPr>
          <w:rFonts w:ascii="Cambria" w:cs="Cambria" w:hAnsi="Cambria" w:eastAsia="Cambria"/>
          <w:rtl w:val="0"/>
          <w:lang w:val="en-US"/>
        </w:rPr>
        <w:t>X</w:t>
      </w:r>
      <w:r>
        <w:rPr>
          <w:rtl w:val="0"/>
        </w:rPr>
        <w:t xml:space="preserve"> M&amp;S  </w:t>
      </w:r>
    </w:p>
    <w:p>
      <w:pPr>
        <w:pStyle w:val="Body A"/>
      </w:pPr>
      <w:r>
        <w:tab/>
      </w:r>
      <w:r>
        <w:rPr>
          <w:rFonts w:ascii="Times New Roman" w:hAnsi="Times New Roman"/>
          <w:rtl w:val="0"/>
          <w:lang w:val="en-US"/>
        </w:rPr>
        <w:t xml:space="preserve"> </w:t>
      </w:r>
      <w:r>
        <w:rPr>
          <w:rFonts w:ascii="Cambria" w:cs="Cambria" w:hAnsi="Cambria" w:eastAsia="Cambria"/>
          <w:rtl w:val="0"/>
          <w:lang w:val="en-US"/>
        </w:rPr>
        <w:t>X</w:t>
      </w:r>
      <w:r>
        <w:rPr>
          <w:rFonts w:ascii="Symbol" w:hAnsi="Symbol"/>
          <w:rtl w:val="0"/>
          <w:lang w:val="en-US"/>
        </w:rPr>
        <w:t xml:space="preserve"> </w:t>
      </w:r>
      <w:r>
        <w:rPr>
          <w:rtl w:val="0"/>
        </w:rPr>
        <w:t xml:space="preserve">SWF </w:t>
      </w:r>
      <w:r>
        <w:rPr>
          <w:color w:val="ff0000"/>
          <w:u w:color="ff0000"/>
          <w:rtl w:val="0"/>
          <w:lang w:val="en-US"/>
        </w:rPr>
        <w:t xml:space="preserve"> </w:t>
      </w:r>
    </w:p>
    <w:p>
      <w:pPr>
        <w:pStyle w:val="Body A"/>
      </w:pPr>
    </w:p>
    <w:p>
      <w:pPr>
        <w:pStyle w:val="Body A"/>
        <w:rPr>
          <w:u w:val="single"/>
          <w:lang w:val="fr-FR"/>
        </w:rPr>
      </w:pPr>
      <w:r>
        <w:rPr>
          <w:rtl w:val="0"/>
          <w:lang w:val="fr-FR"/>
        </w:rPr>
        <w:t xml:space="preserve">Comments: </w:t>
      </w:r>
      <w:r>
        <w:rPr>
          <w:rtl w:val="0"/>
          <w:lang w:val="fr-FR"/>
        </w:rPr>
        <w:t>Rutgers Physics shop has examined the designs and verified the cost estimate.</w:t>
      </w:r>
    </w:p>
    <w:p>
      <w:pPr>
        <w:pStyle w:val="Body A"/>
        <w:rPr>
          <w:u w:val="single"/>
        </w:rPr>
      </w:pPr>
    </w:p>
    <w:p>
      <w:pPr>
        <w:pStyle w:val="Body A"/>
      </w:pPr>
      <w:r>
        <w:rPr>
          <w:rtl w:val="0"/>
        </w:rPr>
        <w:t xml:space="preserve">Vendor Quote Number if Applicable:  </w:t>
      </w:r>
      <w:r>
        <w:rPr>
          <w:u w:val="single"/>
        </w:rPr>
        <w:tab/>
        <w:tab/>
        <w:tab/>
        <w:tab/>
      </w:r>
    </w:p>
    <w:p>
      <w:pPr>
        <w:pStyle w:val="Body A"/>
      </w:pPr>
    </w:p>
    <w:p>
      <w:pPr>
        <w:pStyle w:val="Body A"/>
      </w:pPr>
      <w:r>
        <w:rPr>
          <w:rtl w:val="0"/>
        </w:rPr>
        <w:t xml:space="preserve">Drawing Reference Number or Attachment: </w:t>
      </w:r>
      <w:r>
        <w:rPr>
          <w:u w:val="single"/>
        </w:rPr>
        <w:tab/>
        <w:tab/>
        <w:tab/>
        <w:tab/>
      </w:r>
    </w:p>
    <w:p>
      <w:pPr>
        <w:pStyle w:val="Body A"/>
      </w:pPr>
    </w:p>
    <w:p>
      <w:pPr>
        <w:pStyle w:val="Body A"/>
        <w:rPr>
          <w:u w:val="single"/>
        </w:rPr>
      </w:pPr>
      <w:r>
        <w:rPr>
          <w:rtl w:val="0"/>
        </w:rPr>
        <w:t>Costing Method:</w:t>
      </w:r>
      <w:r>
        <w:rPr>
          <w:u w:val="single"/>
          <w:rtl w:val="0"/>
        </w:rPr>
        <w:tab/>
        <w:t xml:space="preserve">  </w:t>
        <w:tab/>
        <w:t>Engineer estimates, catalog prices, and quotes</w:t>
      </w:r>
    </w:p>
    <w:p>
      <w:pPr>
        <w:pStyle w:val="Body A"/>
      </w:pPr>
    </w:p>
    <w:p>
      <w:pPr>
        <w:pStyle w:val="Body A"/>
        <w:rPr>
          <w:u w:val="single"/>
        </w:rPr>
      </w:pPr>
      <w:r>
        <w:rPr>
          <w:rtl w:val="0"/>
          <w:lang w:val="it-IT"/>
        </w:rPr>
        <w:t xml:space="preserve">Total Task Cost: </w:t>
      </w:r>
      <w:r>
        <w:rPr>
          <w:u w:val="single"/>
          <w:rtl w:val="0"/>
          <w:lang w:val="en-US"/>
        </w:rPr>
        <w:t>$</w:t>
      </w:r>
      <w:r>
        <w:rPr>
          <w:u w:val="single"/>
          <w:rtl w:val="0"/>
          <w:lang w:val="en-US"/>
        </w:rPr>
        <w:t>15,000</w:t>
      </w:r>
      <w:r>
        <w:rPr>
          <w:u w:val="single"/>
          <w:rtl w:val="0"/>
          <w:lang w:val="en-US"/>
        </w:rPr>
        <w:t xml:space="preserve"> (w/o contingency)</w:t>
      </w:r>
    </w:p>
    <w:p>
      <w:pPr>
        <w:pStyle w:val="Body A"/>
        <w:rPr>
          <w:u w:val="single"/>
        </w:rPr>
      </w:pPr>
    </w:p>
    <w:p>
      <w:pPr>
        <w:pStyle w:val="Body A"/>
      </w:pPr>
      <w:r>
        <w:rPr>
          <w:u w:val="single"/>
          <w:rtl w:val="0"/>
          <w:lang w:val="en-US"/>
        </w:rPr>
        <w:t>Total Contingency: $</w:t>
      </w:r>
      <w:r>
        <w:rPr>
          <w:u w:val="single"/>
          <w:rtl w:val="0"/>
          <w:lang w:val="en-US"/>
        </w:rPr>
        <w:t>3000</w:t>
      </w:r>
    </w:p>
    <w:p>
      <w:pPr>
        <w:pStyle w:val="Body A"/>
        <w:rPr>
          <w:u w:val="single"/>
        </w:rPr>
      </w:pPr>
    </w:p>
    <w:p>
      <w:pPr>
        <w:pStyle w:val="Body A"/>
        <w:rPr>
          <w:u w:val="double"/>
        </w:rPr>
      </w:pPr>
      <w:r>
        <w:rPr>
          <w:u w:val="double"/>
        </w:rPr>
        <w:tab/>
        <w:tab/>
        <w:tab/>
        <w:tab/>
        <w:tab/>
        <w:tab/>
        <w:tab/>
        <w:tab/>
        <w:tab/>
        <w:tab/>
        <w:tab/>
        <w:tab/>
      </w:r>
    </w:p>
    <w:p>
      <w:pPr>
        <w:pStyle w:val="Body A"/>
      </w:pPr>
    </w:p>
    <w:p>
      <w:pPr>
        <w:pStyle w:val="Body A"/>
      </w:pPr>
    </w:p>
    <w:p>
      <w:pPr>
        <w:pStyle w:val="Body A"/>
      </w:pPr>
    </w:p>
    <w:p>
      <w:pPr>
        <w:pStyle w:val="Body A"/>
      </w:pPr>
    </w:p>
    <w:p>
      <w:pPr>
        <w:pStyle w:val="Body A"/>
      </w:pPr>
    </w:p>
    <w:p>
      <w:pPr>
        <w:pStyle w:val="Body A"/>
      </w:pPr>
    </w:p>
    <w:p>
      <w:pPr>
        <w:pStyle w:val="Body A"/>
      </w:pPr>
    </w:p>
    <w:p>
      <w:pPr>
        <w:pStyle w:val="Body A"/>
      </w:pPr>
    </w:p>
    <w:p>
      <w:pPr>
        <w:pStyle w:val="Body A"/>
      </w:pPr>
    </w:p>
    <w:p>
      <w:pPr>
        <w:pStyle w:val="Body A"/>
      </w:pPr>
    </w:p>
    <w:p>
      <w:pPr>
        <w:pStyle w:val="Body A"/>
      </w:pPr>
    </w:p>
    <w:p>
      <w:pPr>
        <w:pStyle w:val="Body A"/>
      </w:pPr>
    </w:p>
    <w:p>
      <w:pPr>
        <w:pStyle w:val="Body A"/>
      </w:pPr>
    </w:p>
    <w:p>
      <w:pPr>
        <w:pStyle w:val="Body A"/>
        <w:jc w:val="center"/>
        <w:rPr>
          <w:u w:val="single"/>
        </w:rPr>
      </w:pPr>
      <w:r>
        <w:rPr>
          <w:u w:val="single"/>
          <w:rtl w:val="0"/>
          <w:lang w:val="en-US"/>
        </w:rPr>
        <w:t>II.  Cost Estimate Breakdown</w:t>
      </w:r>
    </w:p>
    <w:p>
      <w:pPr>
        <w:pStyle w:val="Body A"/>
        <w:jc w:val="both"/>
        <w:rPr>
          <w:u w:val="single"/>
        </w:rPr>
      </w:pPr>
    </w:p>
    <w:p>
      <w:pPr>
        <w:pStyle w:val="Body A"/>
        <w:jc w:val="both"/>
        <w:rPr>
          <w:u w:val="single"/>
        </w:rPr>
      </w:pPr>
      <w:r>
        <w:rPr>
          <w:u w:val="single"/>
          <w:rtl w:val="0"/>
          <w:lang w:val="en-US"/>
        </w:rPr>
        <w:t>Cost of each element, along with justification, estimated by Tom O</w:t>
      </w:r>
      <w:r>
        <w:rPr>
          <w:u w:val="single"/>
          <w:rtl w:val="0"/>
          <w:lang w:val="en-US"/>
        </w:rPr>
        <w:t>’</w:t>
      </w:r>
      <w:r>
        <w:rPr>
          <w:u w:val="single"/>
          <w:rtl w:val="0"/>
          <w:lang w:val="en-US"/>
        </w:rPr>
        <w:t>Connor (Argonne), transmitted by email 10/16/15</w:t>
      </w:r>
    </w:p>
    <w:p>
      <w:pPr>
        <w:pStyle w:val="Body A"/>
        <w:jc w:val="both"/>
        <w:rPr>
          <w:u w:val="single"/>
        </w:rPr>
      </w:pPr>
    </w:p>
    <w:p>
      <w:pPr>
        <w:pStyle w:val="Body A"/>
        <w:jc w:val="both"/>
      </w:pPr>
      <w:r>
        <w:rPr>
          <w:rtl w:val="0"/>
          <w:lang w:val="en-US"/>
        </w:rPr>
        <w:t xml:space="preserve">Table Frame  - </w:t>
        <w:tab/>
        <w:tab/>
        <w:t xml:space="preserve">           $2,000</w:t>
      </w:r>
    </w:p>
    <w:p>
      <w:pPr>
        <w:pStyle w:val="Body A"/>
        <w:jc w:val="both"/>
      </w:pPr>
      <w:r>
        <w:rPr>
          <w:rtl w:val="0"/>
          <w:lang w:val="en-US"/>
        </w:rPr>
        <w:t>Feet -</w:t>
        <w:tab/>
        <w:tab/>
        <w:tab/>
        <w:tab/>
        <w:t xml:space="preserve">              $300</w:t>
        <w:tab/>
        <w:t xml:space="preserve"> (3 feet @ $100 each)</w:t>
      </w:r>
    </w:p>
    <w:p>
      <w:pPr>
        <w:pStyle w:val="Body A"/>
        <w:jc w:val="both"/>
      </w:pPr>
      <w:r>
        <w:rPr>
          <w:rtl w:val="0"/>
          <w:lang w:val="en-US"/>
        </w:rPr>
        <w:t xml:space="preserve">Slewing Ring - </w:t>
        <w:tab/>
        <w:tab/>
        <w:t xml:space="preserve">           $3,500</w:t>
        <w:tab/>
        <w:t xml:space="preserve"> (catalog price from January 2014)</w:t>
      </w:r>
    </w:p>
    <w:p>
      <w:pPr>
        <w:pStyle w:val="Body A"/>
        <w:jc w:val="both"/>
      </w:pPr>
      <w:r>
        <w:rPr>
          <w:rtl w:val="0"/>
          <w:lang w:val="nl-NL"/>
        </w:rPr>
        <w:t xml:space="preserve">Rotating Steel Plate - </w:t>
        <w:tab/>
        <w:tab/>
      </w:r>
      <w:r>
        <w:rPr>
          <w:rtl w:val="0"/>
          <w:lang w:val="en-US"/>
        </w:rPr>
        <w:t xml:space="preserve">           $5,350</w:t>
        <w:tab/>
        <w:t xml:space="preserve"> (quote from ANL shop, January 2014)</w:t>
      </w:r>
    </w:p>
    <w:p>
      <w:pPr>
        <w:pStyle w:val="Body A"/>
        <w:jc w:val="both"/>
      </w:pPr>
      <w:r>
        <w:rPr>
          <w:rtl w:val="0"/>
          <w:lang w:val="en-US"/>
        </w:rPr>
        <w:t xml:space="preserve">Slew Ring Support Plate - </w:t>
        <w:tab/>
        <w:t xml:space="preserve">           $2,000</w:t>
      </w:r>
    </w:p>
    <w:p>
      <w:pPr>
        <w:pStyle w:val="Body A"/>
        <w:jc w:val="both"/>
      </w:pPr>
      <w:r>
        <w:rPr>
          <w:rtl w:val="0"/>
          <w:lang w:val="en-US"/>
        </w:rPr>
        <w:t>Rails for sliding GEM table -               $700</w:t>
        <w:tab/>
        <w:t xml:space="preserve"> (2 @ $350 each)</w:t>
      </w:r>
    </w:p>
    <w:p>
      <w:pPr>
        <w:pStyle w:val="Body A"/>
        <w:jc w:val="both"/>
      </w:pPr>
      <w:r>
        <w:rPr>
          <w:rtl w:val="0"/>
          <w:lang w:val="en-US"/>
        </w:rPr>
        <w:t xml:space="preserve">Pillow Blocks for GEM table - </w:t>
        <w:tab/>
        <w:t xml:space="preserve">  $300</w:t>
        <w:tab/>
        <w:t xml:space="preserve"> (4 @ $75 each)</w:t>
      </w:r>
    </w:p>
    <w:p>
      <w:pPr>
        <w:pStyle w:val="Body A"/>
        <w:jc w:val="both"/>
      </w:pPr>
      <w:r>
        <w:rPr>
          <w:rtl w:val="0"/>
          <w:lang w:val="en-US"/>
        </w:rPr>
        <w:t>Ship to PSI:                                           $850 physicist estimate</w:t>
      </w:r>
    </w:p>
    <w:p>
      <w:pPr>
        <w:pStyle w:val="Body A"/>
        <w:jc w:val="both"/>
      </w:pPr>
    </w:p>
    <w:p>
      <w:pPr>
        <w:pStyle w:val="Body A"/>
        <w:jc w:val="both"/>
      </w:pPr>
      <w:r>
        <w:rPr>
          <w:rtl w:val="0"/>
          <w:lang w:val="en-US"/>
        </w:rPr>
        <w:t>TOTAL</w:t>
        <w:tab/>
        <w:tab/>
        <w:tab/>
        <w:t xml:space="preserve">         $15,000</w:t>
      </w:r>
    </w:p>
    <w:p>
      <w:pPr>
        <w:pStyle w:val="Body A"/>
        <w:jc w:val="both"/>
        <w:rPr>
          <w:u w:val="single"/>
        </w:rPr>
      </w:pPr>
    </w:p>
    <w:p>
      <w:pPr>
        <w:pStyle w:val="Body A"/>
        <w:jc w:val="both"/>
      </w:pPr>
    </w:p>
    <w:p>
      <w:pPr>
        <w:pStyle w:val="Body A"/>
        <w:jc w:val="both"/>
      </w:pPr>
      <w:r>
        <w:rPr>
          <w:rtl w:val="0"/>
          <w:lang w:val="en-US"/>
        </w:rPr>
        <w:t>Total: $15,000</w:t>
      </w:r>
    </w:p>
    <w:p>
      <w:pPr>
        <w:pStyle w:val="Body A"/>
        <w:jc w:val="center"/>
        <w:rPr>
          <w:u w:val="single"/>
        </w:rPr>
      </w:pPr>
    </w:p>
    <w:p>
      <w:pPr>
        <w:pStyle w:val="Body A"/>
        <w:jc w:val="center"/>
        <w:rPr>
          <w:u w:val="single"/>
        </w:rPr>
      </w:pPr>
    </w:p>
    <w:p>
      <w:pPr>
        <w:pStyle w:val="Body A"/>
        <w:rPr>
          <w:u w:val="single"/>
        </w:rPr>
      </w:pPr>
    </w:p>
    <w:p>
      <w:pPr>
        <w:pStyle w:val="Body A"/>
        <w:jc w:val="center"/>
        <w:rPr>
          <w:u w:val="single"/>
        </w:rPr>
      </w:pPr>
    </w:p>
    <w:p>
      <w:pPr>
        <w:pStyle w:val="Body A"/>
        <w:jc w:val="center"/>
        <w:rPr>
          <w:u w:val="single"/>
        </w:rPr>
      </w:pPr>
      <w:r>
        <w:rPr>
          <w:u w:val="single"/>
          <w:rtl w:val="0"/>
          <w:lang w:val="en-US"/>
        </w:rPr>
        <w:t xml:space="preserve">III.  Contingency and risk analysis </w:t>
      </w:r>
    </w:p>
    <w:p>
      <w:pPr>
        <w:pStyle w:val="Body A"/>
        <w:jc w:val="center"/>
        <w:rPr>
          <w:u w:val="single"/>
        </w:rPr>
      </w:pPr>
    </w:p>
    <w:p>
      <w:pPr>
        <w:pStyle w:val="Body A"/>
      </w:pPr>
      <w:r>
        <w:rPr>
          <w:rtl w:val="0"/>
        </w:rPr>
        <w:t>This WBS consists of non-complex mechanical and technical items that are sketched out.  There is very little schedule or technical risk, except for design changes.  The same 20% contingency is applied to all items.  Contingency is $3,000.</w:t>
      </w:r>
    </w:p>
    <w:p>
      <w:pPr>
        <w:pStyle w:val="Body A"/>
      </w:pPr>
    </w:p>
    <w:p>
      <w:pPr>
        <w:pStyle w:val="Body A"/>
        <w:jc w:val="center"/>
        <w:rPr>
          <w:u w:val="single"/>
        </w:rPr>
      </w:pPr>
    </w:p>
    <w:p>
      <w:pPr>
        <w:pStyle w:val="Body A"/>
        <w:jc w:val="center"/>
        <w:rPr>
          <w:u w:val="single"/>
        </w:rPr>
      </w:pPr>
    </w:p>
    <w:p>
      <w:pPr>
        <w:pStyle w:val="Body A"/>
        <w:rPr>
          <w:u w:val="single"/>
        </w:rPr>
      </w:pPr>
    </w:p>
    <w:p>
      <w:pPr>
        <w:pStyle w:val="Body A"/>
        <w:rPr>
          <w:u w:val="double"/>
        </w:rPr>
      </w:pPr>
      <w:r>
        <w:rPr>
          <w:u w:val="double"/>
        </w:rPr>
        <w:tab/>
        <w:tab/>
        <w:tab/>
        <w:tab/>
        <w:tab/>
        <w:tab/>
        <w:tab/>
        <w:tab/>
        <w:tab/>
        <w:tab/>
        <w:tab/>
        <w:tab/>
      </w:r>
    </w:p>
    <w:p>
      <w:pPr>
        <w:pStyle w:val="Body A"/>
        <w:jc w:val="center"/>
        <w:rPr>
          <w:u w:val="single"/>
        </w:rPr>
      </w:pPr>
    </w:p>
    <w:p>
      <w:pPr>
        <w:pStyle w:val="Body A"/>
        <w:jc w:val="center"/>
      </w:pPr>
      <w:r>
        <w:drawing>
          <wp:inline distT="0" distB="0" distL="0" distR="0">
            <wp:extent cx="5486400" cy="6061284"/>
            <wp:effectExtent l="0" t="0" r="0" b="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06128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default" r:id="rId6"/>
      <w:pgSz w:w="12240" w:h="15840" w:orient="portrait"/>
      <w:pgMar w:top="1440" w:right="1800" w:bottom="1440" w:left="180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Times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" w:cs="Arial Unicode MS" w:hAnsi="Time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